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86F0C" w14:textId="77777777" w:rsidR="00B46C8C" w:rsidRPr="00B46C8C" w:rsidRDefault="00B46C8C" w:rsidP="00B46C8C">
      <w:pPr>
        <w:spacing w:line="480" w:lineRule="auto"/>
        <w:contextualSpacing/>
        <w:rPr>
          <w:rFonts w:ascii="Times New Roman" w:hAnsi="Times New Roman" w:cs="Times New Roman"/>
          <w:sz w:val="24"/>
          <w:szCs w:val="24"/>
        </w:rPr>
      </w:pPr>
    </w:p>
    <w:p w14:paraId="7D5D4C9E" w14:textId="77777777" w:rsidR="00B46C8C" w:rsidRPr="00B46C8C" w:rsidRDefault="00B46C8C" w:rsidP="00B46C8C">
      <w:pPr>
        <w:spacing w:line="480" w:lineRule="auto"/>
        <w:contextualSpacing/>
        <w:rPr>
          <w:rFonts w:ascii="Times New Roman" w:hAnsi="Times New Roman" w:cs="Times New Roman"/>
          <w:sz w:val="24"/>
          <w:szCs w:val="24"/>
        </w:rPr>
      </w:pPr>
    </w:p>
    <w:p w14:paraId="6D7B7F83" w14:textId="56574055" w:rsidR="00B46C8C" w:rsidRPr="00B46C8C" w:rsidRDefault="00B46C8C" w:rsidP="00B46C8C">
      <w:pPr>
        <w:spacing w:line="480" w:lineRule="auto"/>
        <w:contextualSpacing/>
        <w:rPr>
          <w:rFonts w:ascii="Times New Roman" w:hAnsi="Times New Roman" w:cs="Times New Roman"/>
          <w:sz w:val="24"/>
          <w:szCs w:val="24"/>
        </w:rPr>
      </w:pPr>
    </w:p>
    <w:p w14:paraId="5C2688C8" w14:textId="77777777" w:rsidR="00B46C8C" w:rsidRPr="00B46C8C" w:rsidRDefault="00B46C8C" w:rsidP="00B46C8C">
      <w:pPr>
        <w:spacing w:line="480" w:lineRule="auto"/>
        <w:contextualSpacing/>
        <w:jc w:val="center"/>
        <w:rPr>
          <w:rFonts w:ascii="Times New Roman" w:hAnsi="Times New Roman" w:cs="Times New Roman"/>
          <w:sz w:val="24"/>
          <w:szCs w:val="24"/>
        </w:rPr>
      </w:pPr>
    </w:p>
    <w:p w14:paraId="1D80CDE0" w14:textId="77777777" w:rsidR="00B46C8C" w:rsidRPr="00B46C8C" w:rsidRDefault="00B46C8C" w:rsidP="00B46C8C">
      <w:pPr>
        <w:spacing w:line="480" w:lineRule="auto"/>
        <w:contextualSpacing/>
        <w:jc w:val="center"/>
        <w:rPr>
          <w:rFonts w:ascii="Times New Roman" w:hAnsi="Times New Roman" w:cs="Times New Roman"/>
          <w:sz w:val="24"/>
          <w:szCs w:val="24"/>
        </w:rPr>
      </w:pPr>
    </w:p>
    <w:p w14:paraId="0CED2D1D" w14:textId="77777777" w:rsidR="00B46C8C" w:rsidRPr="00B46C8C" w:rsidRDefault="00B46C8C" w:rsidP="00B46C8C">
      <w:pPr>
        <w:spacing w:line="480" w:lineRule="auto"/>
        <w:contextualSpacing/>
        <w:jc w:val="center"/>
        <w:rPr>
          <w:rFonts w:ascii="Times New Roman" w:hAnsi="Times New Roman" w:cs="Times New Roman"/>
          <w:sz w:val="24"/>
          <w:szCs w:val="24"/>
        </w:rPr>
      </w:pPr>
    </w:p>
    <w:p w14:paraId="4B83753E" w14:textId="77777777" w:rsidR="00B46C8C" w:rsidRPr="00B46C8C" w:rsidRDefault="00B46C8C" w:rsidP="00B46C8C">
      <w:pPr>
        <w:spacing w:line="480" w:lineRule="auto"/>
        <w:contextualSpacing/>
        <w:jc w:val="center"/>
        <w:rPr>
          <w:rFonts w:ascii="Times New Roman" w:hAnsi="Times New Roman" w:cs="Times New Roman"/>
          <w:sz w:val="24"/>
          <w:szCs w:val="24"/>
        </w:rPr>
      </w:pPr>
    </w:p>
    <w:p w14:paraId="614BE479" w14:textId="77777777" w:rsidR="00B46C8C" w:rsidRPr="00B46C8C" w:rsidRDefault="00B46C8C" w:rsidP="00B46C8C">
      <w:pPr>
        <w:spacing w:line="480" w:lineRule="auto"/>
        <w:contextualSpacing/>
        <w:jc w:val="center"/>
        <w:rPr>
          <w:rFonts w:ascii="Times New Roman" w:hAnsi="Times New Roman" w:cs="Times New Roman"/>
          <w:sz w:val="24"/>
          <w:szCs w:val="24"/>
        </w:rPr>
      </w:pPr>
    </w:p>
    <w:p w14:paraId="16C3B4D8" w14:textId="77777777" w:rsidR="00B46C8C" w:rsidRPr="00B46C8C" w:rsidRDefault="00B46C8C" w:rsidP="00B46C8C">
      <w:pPr>
        <w:spacing w:line="480" w:lineRule="auto"/>
        <w:contextualSpacing/>
        <w:jc w:val="center"/>
        <w:rPr>
          <w:rFonts w:ascii="Times New Roman" w:hAnsi="Times New Roman" w:cs="Times New Roman"/>
          <w:b/>
          <w:bCs/>
          <w:sz w:val="24"/>
          <w:szCs w:val="24"/>
        </w:rPr>
      </w:pPr>
    </w:p>
    <w:p w14:paraId="1CAE8783" w14:textId="3788D0EC" w:rsidR="00B46C8C" w:rsidRPr="00B46C8C" w:rsidRDefault="00B46C8C" w:rsidP="00B46C8C">
      <w:pPr>
        <w:spacing w:line="480" w:lineRule="auto"/>
        <w:contextualSpacing/>
        <w:jc w:val="center"/>
        <w:rPr>
          <w:rFonts w:ascii="Times New Roman" w:hAnsi="Times New Roman" w:cs="Times New Roman"/>
          <w:b/>
          <w:bCs/>
          <w:sz w:val="24"/>
          <w:szCs w:val="24"/>
        </w:rPr>
      </w:pPr>
      <w:r w:rsidRPr="00B46C8C">
        <w:rPr>
          <w:rFonts w:ascii="Times New Roman" w:hAnsi="Times New Roman" w:cs="Times New Roman"/>
          <w:b/>
          <w:bCs/>
          <w:sz w:val="24"/>
          <w:szCs w:val="24"/>
        </w:rPr>
        <w:t>VARK</w:t>
      </w:r>
    </w:p>
    <w:p w14:paraId="1B1775BD" w14:textId="6E0C894E" w:rsidR="00B46C8C" w:rsidRPr="00B46C8C" w:rsidRDefault="00B46C8C" w:rsidP="00B46C8C">
      <w:pPr>
        <w:spacing w:line="480" w:lineRule="auto"/>
        <w:contextualSpacing/>
        <w:jc w:val="center"/>
        <w:rPr>
          <w:rFonts w:ascii="Times New Roman" w:hAnsi="Times New Roman" w:cs="Times New Roman"/>
          <w:sz w:val="24"/>
          <w:szCs w:val="24"/>
        </w:rPr>
      </w:pPr>
    </w:p>
    <w:p w14:paraId="71FC77A2" w14:textId="7D867D41" w:rsidR="00B46C8C" w:rsidRPr="00B46C8C" w:rsidRDefault="00B46C8C" w:rsidP="00B46C8C">
      <w:pPr>
        <w:spacing w:line="480" w:lineRule="auto"/>
        <w:contextualSpacing/>
        <w:jc w:val="center"/>
        <w:rPr>
          <w:rFonts w:ascii="Times New Roman" w:hAnsi="Times New Roman" w:cs="Times New Roman"/>
          <w:sz w:val="24"/>
          <w:szCs w:val="24"/>
        </w:rPr>
      </w:pPr>
    </w:p>
    <w:p w14:paraId="2B802D1C" w14:textId="745293E5" w:rsidR="00B46C8C" w:rsidRPr="00B46C8C" w:rsidRDefault="00B46C8C" w:rsidP="00B46C8C">
      <w:pPr>
        <w:spacing w:line="480" w:lineRule="auto"/>
        <w:contextualSpacing/>
        <w:jc w:val="center"/>
        <w:rPr>
          <w:rFonts w:ascii="Times New Roman" w:hAnsi="Times New Roman" w:cs="Times New Roman"/>
          <w:sz w:val="24"/>
          <w:szCs w:val="24"/>
        </w:rPr>
      </w:pPr>
      <w:r w:rsidRPr="00B46C8C">
        <w:rPr>
          <w:rFonts w:ascii="Times New Roman" w:hAnsi="Times New Roman" w:cs="Times New Roman"/>
          <w:sz w:val="24"/>
          <w:szCs w:val="24"/>
        </w:rPr>
        <w:t>Student’s Name</w:t>
      </w:r>
    </w:p>
    <w:p w14:paraId="1F00B7A6" w14:textId="79920DBA" w:rsidR="00B46C8C" w:rsidRPr="00B46C8C" w:rsidRDefault="00B46C8C" w:rsidP="00B46C8C">
      <w:pPr>
        <w:spacing w:line="480" w:lineRule="auto"/>
        <w:contextualSpacing/>
        <w:jc w:val="center"/>
        <w:rPr>
          <w:rFonts w:ascii="Times New Roman" w:hAnsi="Times New Roman" w:cs="Times New Roman"/>
          <w:sz w:val="24"/>
          <w:szCs w:val="24"/>
        </w:rPr>
      </w:pPr>
    </w:p>
    <w:p w14:paraId="7325A223" w14:textId="02D9410A" w:rsidR="00B46C8C" w:rsidRPr="00B46C8C" w:rsidRDefault="00B46C8C" w:rsidP="00B46C8C">
      <w:pPr>
        <w:spacing w:line="480" w:lineRule="auto"/>
        <w:contextualSpacing/>
        <w:jc w:val="center"/>
        <w:rPr>
          <w:rFonts w:ascii="Times New Roman" w:hAnsi="Times New Roman" w:cs="Times New Roman"/>
          <w:sz w:val="24"/>
          <w:szCs w:val="24"/>
        </w:rPr>
      </w:pPr>
      <w:r w:rsidRPr="00B46C8C">
        <w:rPr>
          <w:rFonts w:ascii="Times New Roman" w:hAnsi="Times New Roman" w:cs="Times New Roman"/>
          <w:sz w:val="24"/>
          <w:szCs w:val="24"/>
        </w:rPr>
        <w:t>Institution</w:t>
      </w:r>
    </w:p>
    <w:p w14:paraId="63A0CB29" w14:textId="2CC4826E" w:rsidR="00B46C8C" w:rsidRPr="00B46C8C" w:rsidRDefault="00B46C8C" w:rsidP="00B46C8C">
      <w:pPr>
        <w:spacing w:line="480" w:lineRule="auto"/>
        <w:contextualSpacing/>
        <w:jc w:val="center"/>
        <w:rPr>
          <w:rFonts w:ascii="Times New Roman" w:hAnsi="Times New Roman" w:cs="Times New Roman"/>
          <w:sz w:val="24"/>
          <w:szCs w:val="24"/>
        </w:rPr>
      </w:pPr>
      <w:r w:rsidRPr="00B46C8C">
        <w:rPr>
          <w:rFonts w:ascii="Times New Roman" w:hAnsi="Times New Roman" w:cs="Times New Roman"/>
          <w:sz w:val="24"/>
          <w:szCs w:val="24"/>
        </w:rPr>
        <w:t>Course Code</w:t>
      </w:r>
    </w:p>
    <w:p w14:paraId="09CC90DA" w14:textId="4F499559" w:rsidR="00B46C8C" w:rsidRPr="00B46C8C" w:rsidRDefault="00B46C8C" w:rsidP="00B46C8C">
      <w:pPr>
        <w:spacing w:line="480" w:lineRule="auto"/>
        <w:contextualSpacing/>
        <w:jc w:val="center"/>
        <w:rPr>
          <w:rFonts w:ascii="Times New Roman" w:hAnsi="Times New Roman" w:cs="Times New Roman"/>
          <w:sz w:val="24"/>
          <w:szCs w:val="24"/>
        </w:rPr>
      </w:pPr>
      <w:r w:rsidRPr="00B46C8C">
        <w:rPr>
          <w:rFonts w:ascii="Times New Roman" w:hAnsi="Times New Roman" w:cs="Times New Roman"/>
          <w:sz w:val="24"/>
          <w:szCs w:val="24"/>
        </w:rPr>
        <w:t>Professor’s Name</w:t>
      </w:r>
    </w:p>
    <w:p w14:paraId="54F34C86" w14:textId="212E1EBF" w:rsidR="00B46C8C" w:rsidRPr="00B46C8C" w:rsidRDefault="00B46C8C" w:rsidP="00B46C8C">
      <w:pPr>
        <w:spacing w:line="480" w:lineRule="auto"/>
        <w:contextualSpacing/>
        <w:jc w:val="center"/>
        <w:rPr>
          <w:rFonts w:ascii="Times New Roman" w:hAnsi="Times New Roman" w:cs="Times New Roman"/>
          <w:sz w:val="24"/>
          <w:szCs w:val="24"/>
        </w:rPr>
      </w:pPr>
      <w:r w:rsidRPr="00B46C8C">
        <w:rPr>
          <w:rFonts w:ascii="Times New Roman" w:hAnsi="Times New Roman" w:cs="Times New Roman"/>
          <w:sz w:val="24"/>
          <w:szCs w:val="24"/>
        </w:rPr>
        <w:t>Date</w:t>
      </w:r>
    </w:p>
    <w:p w14:paraId="31B0F0FA" w14:textId="77777777" w:rsidR="00B46C8C" w:rsidRPr="00B46C8C" w:rsidRDefault="00B46C8C" w:rsidP="00B46C8C">
      <w:pPr>
        <w:spacing w:line="480" w:lineRule="auto"/>
        <w:contextualSpacing/>
        <w:rPr>
          <w:rFonts w:ascii="Times New Roman" w:hAnsi="Times New Roman" w:cs="Times New Roman"/>
          <w:sz w:val="24"/>
          <w:szCs w:val="24"/>
        </w:rPr>
      </w:pPr>
    </w:p>
    <w:p w14:paraId="27EB5645" w14:textId="77777777" w:rsidR="00B46C8C" w:rsidRPr="00B46C8C" w:rsidRDefault="00B46C8C" w:rsidP="00B46C8C">
      <w:pPr>
        <w:spacing w:line="480" w:lineRule="auto"/>
        <w:contextualSpacing/>
        <w:rPr>
          <w:rFonts w:ascii="Times New Roman" w:hAnsi="Times New Roman" w:cs="Times New Roman"/>
          <w:sz w:val="24"/>
          <w:szCs w:val="24"/>
        </w:rPr>
      </w:pPr>
    </w:p>
    <w:p w14:paraId="1FD8FBCE" w14:textId="77777777" w:rsidR="00B46C8C" w:rsidRPr="00B46C8C" w:rsidRDefault="00B46C8C" w:rsidP="00B46C8C">
      <w:pPr>
        <w:spacing w:line="480" w:lineRule="auto"/>
        <w:contextualSpacing/>
        <w:rPr>
          <w:rFonts w:ascii="Times New Roman" w:hAnsi="Times New Roman" w:cs="Times New Roman"/>
          <w:sz w:val="24"/>
          <w:szCs w:val="24"/>
        </w:rPr>
      </w:pPr>
    </w:p>
    <w:p w14:paraId="6D7DBB1B" w14:textId="77777777" w:rsidR="00B46C8C" w:rsidRPr="00B46C8C" w:rsidRDefault="00B46C8C" w:rsidP="00B46C8C">
      <w:pPr>
        <w:spacing w:line="480" w:lineRule="auto"/>
        <w:contextualSpacing/>
        <w:rPr>
          <w:rFonts w:ascii="Times New Roman" w:hAnsi="Times New Roman" w:cs="Times New Roman"/>
          <w:sz w:val="24"/>
          <w:szCs w:val="24"/>
        </w:rPr>
      </w:pPr>
    </w:p>
    <w:p w14:paraId="54CD5DA0" w14:textId="77777777" w:rsidR="00B46C8C" w:rsidRPr="00B46C8C" w:rsidRDefault="00B46C8C" w:rsidP="00B46C8C">
      <w:pPr>
        <w:spacing w:line="480" w:lineRule="auto"/>
        <w:contextualSpacing/>
        <w:rPr>
          <w:rFonts w:ascii="Times New Roman" w:hAnsi="Times New Roman" w:cs="Times New Roman"/>
          <w:sz w:val="24"/>
          <w:szCs w:val="24"/>
        </w:rPr>
      </w:pPr>
    </w:p>
    <w:p w14:paraId="02376B7B" w14:textId="42B935F1" w:rsidR="00B46C8C" w:rsidRPr="00B46C8C" w:rsidRDefault="00B46C8C" w:rsidP="00B46C8C">
      <w:pPr>
        <w:spacing w:line="480" w:lineRule="auto"/>
        <w:contextualSpacing/>
        <w:jc w:val="center"/>
        <w:rPr>
          <w:rFonts w:ascii="Times New Roman" w:hAnsi="Times New Roman" w:cs="Times New Roman"/>
          <w:b/>
          <w:bCs/>
          <w:sz w:val="24"/>
          <w:szCs w:val="24"/>
        </w:rPr>
      </w:pPr>
      <w:r w:rsidRPr="00B46C8C">
        <w:rPr>
          <w:rFonts w:ascii="Times New Roman" w:hAnsi="Times New Roman" w:cs="Times New Roman"/>
          <w:b/>
          <w:bCs/>
          <w:sz w:val="24"/>
          <w:szCs w:val="24"/>
        </w:rPr>
        <w:lastRenderedPageBreak/>
        <w:t>VARK</w:t>
      </w:r>
    </w:p>
    <w:p w14:paraId="0646F056" w14:textId="109F0052" w:rsidR="00B46C8C" w:rsidRPr="00B46C8C" w:rsidRDefault="00300581" w:rsidP="00B46C8C">
      <w:pPr>
        <w:spacing w:line="480" w:lineRule="auto"/>
        <w:ind w:firstLine="720"/>
        <w:contextualSpacing/>
        <w:rPr>
          <w:rFonts w:ascii="Times New Roman" w:hAnsi="Times New Roman" w:cs="Times New Roman"/>
          <w:sz w:val="24"/>
          <w:szCs w:val="24"/>
        </w:rPr>
      </w:pPr>
      <w:r w:rsidRPr="00B46C8C">
        <w:rPr>
          <w:rFonts w:ascii="Times New Roman" w:hAnsi="Times New Roman" w:cs="Times New Roman"/>
          <w:sz w:val="24"/>
          <w:szCs w:val="24"/>
        </w:rPr>
        <w:t xml:space="preserve">Fleming's learning style, or better the VARK learning style, is popular among the scholarly community. Different educational communities have used it to a great extent to find specific styles that suit different students. As a learner, i.e., the reading-writing learner takes in the information </w:t>
      </w:r>
      <w:r w:rsidR="00E11B12">
        <w:rPr>
          <w:rFonts w:ascii="Times New Roman" w:hAnsi="Times New Roman" w:cs="Times New Roman"/>
          <w:sz w:val="24"/>
          <w:szCs w:val="24"/>
        </w:rPr>
        <w:t xml:space="preserve">by </w:t>
      </w:r>
      <w:r w:rsidRPr="00B46C8C">
        <w:rPr>
          <w:rFonts w:ascii="Times New Roman" w:hAnsi="Times New Roman" w:cs="Times New Roman"/>
          <w:sz w:val="24"/>
          <w:szCs w:val="24"/>
        </w:rPr>
        <w:t>look</w:t>
      </w:r>
      <w:r w:rsidR="00E11B12">
        <w:rPr>
          <w:rFonts w:ascii="Times New Roman" w:hAnsi="Times New Roman" w:cs="Times New Roman"/>
          <w:sz w:val="24"/>
          <w:szCs w:val="24"/>
        </w:rPr>
        <w:t>ing</w:t>
      </w:r>
      <w:r w:rsidRPr="00B46C8C">
        <w:rPr>
          <w:rFonts w:ascii="Times New Roman" w:hAnsi="Times New Roman" w:cs="Times New Roman"/>
          <w:sz w:val="24"/>
          <w:szCs w:val="24"/>
        </w:rPr>
        <w:t xml:space="preserve"> at different studying outlines or headings right at the beginning of any textbook, they easily assimilate knowledge in handbooks, outlines, manuals, and any other kind of book for that matter. In most academic institutions, </w:t>
      </w:r>
      <w:r w:rsidR="00E11B12">
        <w:rPr>
          <w:rFonts w:ascii="Times New Roman" w:hAnsi="Times New Roman" w:cs="Times New Roman"/>
          <w:sz w:val="24"/>
          <w:szCs w:val="24"/>
        </w:rPr>
        <w:t xml:space="preserve">these </w:t>
      </w:r>
      <w:r w:rsidRPr="00B46C8C">
        <w:rPr>
          <w:rFonts w:ascii="Times New Roman" w:hAnsi="Times New Roman" w:cs="Times New Roman"/>
          <w:sz w:val="24"/>
          <w:szCs w:val="24"/>
        </w:rPr>
        <w:t xml:space="preserve">students have reported taking excessive lecture notes and doing relatively well in writing long academic essays. </w:t>
      </w:r>
      <w:r w:rsidR="00E11B12">
        <w:rPr>
          <w:rFonts w:ascii="Times New Roman" w:hAnsi="Times New Roman" w:cs="Times New Roman"/>
          <w:sz w:val="24"/>
          <w:szCs w:val="24"/>
        </w:rPr>
        <w:t>A</w:t>
      </w:r>
      <w:r w:rsidRPr="00B46C8C">
        <w:rPr>
          <w:rFonts w:ascii="Times New Roman" w:hAnsi="Times New Roman" w:cs="Times New Roman"/>
          <w:sz w:val="24"/>
          <w:szCs w:val="24"/>
        </w:rPr>
        <w:t>n auditory learner is more focused and interested in attending lectures and study sessions</w:t>
      </w:r>
      <w:r w:rsidR="00215188" w:rsidRPr="00B46C8C">
        <w:rPr>
          <w:rFonts w:ascii="Times New Roman" w:hAnsi="Times New Roman" w:cs="Times New Roman"/>
          <w:sz w:val="24"/>
          <w:szCs w:val="24"/>
        </w:rPr>
        <w:t xml:space="preserve"> </w:t>
      </w:r>
      <w:r w:rsidR="00215188" w:rsidRPr="00B46C8C">
        <w:rPr>
          <w:rFonts w:ascii="Times New Roman" w:hAnsi="Times New Roman" w:cs="Times New Roman"/>
          <w:sz w:val="24"/>
          <w:szCs w:val="24"/>
        </w:rPr>
        <w:t>(Drago &amp; Wagner, 2004)</w:t>
      </w:r>
      <w:r w:rsidRPr="00B46C8C">
        <w:rPr>
          <w:rFonts w:ascii="Times New Roman" w:hAnsi="Times New Roman" w:cs="Times New Roman"/>
          <w:sz w:val="24"/>
          <w:szCs w:val="24"/>
        </w:rPr>
        <w:t xml:space="preserve">, these kinds of learners do remarkably well when placed in group discussions where students taking a similar subject or unit sit down and discuss various topics relating to the same under an instructor, the presence of an instructor is not definite; the students can be by themselves just discussing. Auditory learners like to discuss their ideas and new concepts with other people; students have reported better memory of a subject when discussed with a </w:t>
      </w:r>
      <w:proofErr w:type="spellStart"/>
      <w:r w:rsidRPr="00B46C8C">
        <w:rPr>
          <w:rFonts w:ascii="Times New Roman" w:hAnsi="Times New Roman" w:cs="Times New Roman"/>
          <w:sz w:val="24"/>
          <w:szCs w:val="24"/>
        </w:rPr>
        <w:t>coursemate</w:t>
      </w:r>
      <w:proofErr w:type="spellEnd"/>
      <w:r w:rsidRPr="00B46C8C">
        <w:rPr>
          <w:rFonts w:ascii="Times New Roman" w:hAnsi="Times New Roman" w:cs="Times New Roman"/>
          <w:sz w:val="24"/>
          <w:szCs w:val="24"/>
        </w:rPr>
        <w:t xml:space="preserve">. Teachers have tapped into these students by using recording devices and, in some cases, mnemonic devices. Visual learners are a bit visual; they love to highlight anything that shows symbols, flow charts, graphs, pictures, and in some cases, graphic organizers, which are appealing to </w:t>
      </w:r>
      <w:proofErr w:type="gramStart"/>
      <w:r w:rsidRPr="00B46C8C">
        <w:rPr>
          <w:rFonts w:ascii="Times New Roman" w:hAnsi="Times New Roman" w:cs="Times New Roman"/>
          <w:sz w:val="24"/>
          <w:szCs w:val="24"/>
        </w:rPr>
        <w:t>th</w:t>
      </w:r>
      <w:r w:rsidR="001405CF">
        <w:rPr>
          <w:rFonts w:ascii="Times New Roman" w:hAnsi="Times New Roman" w:cs="Times New Roman"/>
          <w:sz w:val="24"/>
          <w:szCs w:val="24"/>
        </w:rPr>
        <w:t>e</w:t>
      </w:r>
      <w:r w:rsidRPr="00B46C8C">
        <w:rPr>
          <w:rFonts w:ascii="Times New Roman" w:hAnsi="Times New Roman" w:cs="Times New Roman"/>
          <w:sz w:val="24"/>
          <w:szCs w:val="24"/>
        </w:rPr>
        <w:t>s</w:t>
      </w:r>
      <w:r w:rsidR="001405CF">
        <w:rPr>
          <w:rFonts w:ascii="Times New Roman" w:hAnsi="Times New Roman" w:cs="Times New Roman"/>
          <w:sz w:val="24"/>
          <w:szCs w:val="24"/>
        </w:rPr>
        <w:t>e</w:t>
      </w:r>
      <w:r w:rsidRPr="00B46C8C">
        <w:rPr>
          <w:rFonts w:ascii="Times New Roman" w:hAnsi="Times New Roman" w:cs="Times New Roman"/>
          <w:sz w:val="24"/>
          <w:szCs w:val="24"/>
        </w:rPr>
        <w:t xml:space="preserve"> type of learner</w:t>
      </w:r>
      <w:r w:rsidR="001405CF">
        <w:rPr>
          <w:rFonts w:ascii="Times New Roman" w:hAnsi="Times New Roman" w:cs="Times New Roman"/>
          <w:sz w:val="24"/>
          <w:szCs w:val="24"/>
        </w:rPr>
        <w:t>s</w:t>
      </w:r>
      <w:proofErr w:type="gramEnd"/>
      <w:r w:rsidRPr="00B46C8C">
        <w:rPr>
          <w:rFonts w:ascii="Times New Roman" w:hAnsi="Times New Roman" w:cs="Times New Roman"/>
          <w:sz w:val="24"/>
          <w:szCs w:val="24"/>
        </w:rPr>
        <w:t xml:space="preserve">. It has been shown that these types of learners like to organize their work when they are either taking down notes or writing an exam; they do this because their work gives them a visual appeal and is interesting to read and go through. Visual learners are also very attentive, especially when studying textbook diagrams, they also text to recall concepts by relating how the learning environment was arranged, how the instructor was standing, what was in the background when the instructor introduced a new concept, who walked in the class </w:t>
      </w:r>
      <w:r w:rsidRPr="00B46C8C">
        <w:rPr>
          <w:rFonts w:ascii="Times New Roman" w:hAnsi="Times New Roman" w:cs="Times New Roman"/>
          <w:sz w:val="24"/>
          <w:szCs w:val="24"/>
        </w:rPr>
        <w:lastRenderedPageBreak/>
        <w:t>when the instructor passed some point. On the other hand, the Kinesthetic learner uses all their senses and is very much hands-on; instructors and professors need to master all</w:t>
      </w:r>
      <w:r w:rsidR="001405CF">
        <w:rPr>
          <w:rFonts w:ascii="Times New Roman" w:hAnsi="Times New Roman" w:cs="Times New Roman"/>
          <w:sz w:val="24"/>
          <w:szCs w:val="24"/>
        </w:rPr>
        <w:t xml:space="preserve"> the senses in</w:t>
      </w:r>
      <w:r w:rsidRPr="00B46C8C">
        <w:rPr>
          <w:rFonts w:ascii="Times New Roman" w:hAnsi="Times New Roman" w:cs="Times New Roman"/>
          <w:sz w:val="24"/>
          <w:szCs w:val="24"/>
        </w:rPr>
        <w:t xml:space="preserve"> giving and chanting content to them. Good teachers</w:t>
      </w:r>
      <w:r w:rsidR="001405CF">
        <w:rPr>
          <w:rFonts w:ascii="Times New Roman" w:hAnsi="Times New Roman" w:cs="Times New Roman"/>
          <w:sz w:val="24"/>
          <w:szCs w:val="24"/>
        </w:rPr>
        <w:t xml:space="preserve"> </w:t>
      </w:r>
      <w:r w:rsidRPr="00B46C8C">
        <w:rPr>
          <w:rFonts w:ascii="Times New Roman" w:hAnsi="Times New Roman" w:cs="Times New Roman"/>
          <w:sz w:val="24"/>
          <w:szCs w:val="24"/>
        </w:rPr>
        <w:t xml:space="preserve">use anything that can stimulate their learning. </w:t>
      </w:r>
    </w:p>
    <w:p w14:paraId="6E3B0131" w14:textId="1A5CB819" w:rsidR="00300581" w:rsidRPr="00B46C8C" w:rsidRDefault="00300581" w:rsidP="00B46C8C">
      <w:pPr>
        <w:spacing w:line="480" w:lineRule="auto"/>
        <w:ind w:firstLine="720"/>
        <w:contextualSpacing/>
        <w:rPr>
          <w:rFonts w:ascii="Times New Roman" w:hAnsi="Times New Roman" w:cs="Times New Roman"/>
          <w:sz w:val="24"/>
          <w:szCs w:val="24"/>
        </w:rPr>
      </w:pPr>
      <w:r w:rsidRPr="00B46C8C">
        <w:rPr>
          <w:rFonts w:ascii="Times New Roman" w:hAnsi="Times New Roman" w:cs="Times New Roman"/>
          <w:sz w:val="24"/>
          <w:szCs w:val="24"/>
        </w:rPr>
        <w:t>Professors and instructors involve as many senses as possible, be it real-life applications, examples, trial, and error; any procedural thing goes a long way in helping students in this category take in information, study prior exams, assignments, and even papers. Matching the learner's personality aids correctly in retaining content and helps the student scuffle that information and build it into existing schemas within their mind</w:t>
      </w:r>
      <w:r w:rsidR="00215188" w:rsidRPr="00B46C8C">
        <w:rPr>
          <w:rFonts w:ascii="Times New Roman" w:hAnsi="Times New Roman" w:cs="Times New Roman"/>
          <w:sz w:val="24"/>
          <w:szCs w:val="24"/>
        </w:rPr>
        <w:t xml:space="preserve"> </w:t>
      </w:r>
      <w:r w:rsidR="00215188" w:rsidRPr="00B46C8C">
        <w:rPr>
          <w:rFonts w:ascii="Times New Roman" w:hAnsi="Times New Roman" w:cs="Times New Roman"/>
          <w:sz w:val="24"/>
          <w:szCs w:val="24"/>
        </w:rPr>
        <w:t>(</w:t>
      </w:r>
      <w:proofErr w:type="spellStart"/>
      <w:r w:rsidR="00215188" w:rsidRPr="00B46C8C">
        <w:rPr>
          <w:rFonts w:ascii="Times New Roman" w:hAnsi="Times New Roman" w:cs="Times New Roman"/>
          <w:sz w:val="24"/>
          <w:szCs w:val="24"/>
        </w:rPr>
        <w:t>Moazeni</w:t>
      </w:r>
      <w:proofErr w:type="spellEnd"/>
      <w:r w:rsidR="00215188" w:rsidRPr="00B46C8C">
        <w:rPr>
          <w:rFonts w:ascii="Times New Roman" w:hAnsi="Times New Roman" w:cs="Times New Roman"/>
          <w:sz w:val="24"/>
          <w:szCs w:val="24"/>
        </w:rPr>
        <w:t xml:space="preserve"> &amp; </w:t>
      </w:r>
      <w:proofErr w:type="spellStart"/>
      <w:r w:rsidR="00215188" w:rsidRPr="00B46C8C">
        <w:rPr>
          <w:rFonts w:ascii="Times New Roman" w:hAnsi="Times New Roman" w:cs="Times New Roman"/>
          <w:sz w:val="24"/>
          <w:szCs w:val="24"/>
        </w:rPr>
        <w:t>Pourmohammadi</w:t>
      </w:r>
      <w:proofErr w:type="spellEnd"/>
      <w:r w:rsidR="00215188" w:rsidRPr="00B46C8C">
        <w:rPr>
          <w:rFonts w:ascii="Times New Roman" w:hAnsi="Times New Roman" w:cs="Times New Roman"/>
          <w:sz w:val="24"/>
          <w:szCs w:val="24"/>
        </w:rPr>
        <w:t>, 2013)</w:t>
      </w:r>
      <w:r w:rsidRPr="00B46C8C">
        <w:rPr>
          <w:rFonts w:ascii="Times New Roman" w:hAnsi="Times New Roman" w:cs="Times New Roman"/>
          <w:sz w:val="24"/>
          <w:szCs w:val="24"/>
        </w:rPr>
        <w:t xml:space="preserve">. An instructor ought to take their text, outline it, and create texts for the digital learner. Highlighting the text and creating anything in it goes a long way in ensuring that the student assimilates the information presented easily. Rephrasing ideas, texts, and concepts from a plain form to a more conversational tone is critical in ensuring the student digests all the information presented to them. For the visual students, an educator ought to take the action information and create them into something that is more word-oriented; for auditory an educator should be able to expand their notes by discussing them, speaking out ideas, engage the students in class, forming discussion groups for the students and least I forget making sure the students remain on a topic not to drift attention easily. </w:t>
      </w:r>
      <w:r w:rsidR="001405CF">
        <w:rPr>
          <w:rFonts w:ascii="Times New Roman" w:hAnsi="Times New Roman" w:cs="Times New Roman"/>
          <w:sz w:val="24"/>
          <w:szCs w:val="24"/>
        </w:rPr>
        <w:t>A v</w:t>
      </w:r>
      <w:r w:rsidRPr="00B46C8C">
        <w:rPr>
          <w:rFonts w:ascii="Times New Roman" w:hAnsi="Times New Roman" w:cs="Times New Roman"/>
          <w:sz w:val="24"/>
          <w:szCs w:val="24"/>
        </w:rPr>
        <w:t>isual learner, as I mentioned, organizes their work into visually appealing notes, graphs, and diagrams. My preferred learning technique is more of a hybrid, audio-visual learning technique or a Kinesthetic technique</w:t>
      </w:r>
      <w:r w:rsidR="001405CF">
        <w:rPr>
          <w:rFonts w:ascii="Times New Roman" w:hAnsi="Times New Roman" w:cs="Times New Roman"/>
          <w:sz w:val="24"/>
          <w:szCs w:val="24"/>
        </w:rPr>
        <w:t>, multimodal</w:t>
      </w:r>
      <w:r w:rsidRPr="00B46C8C">
        <w:rPr>
          <w:rFonts w:ascii="Times New Roman" w:hAnsi="Times New Roman" w:cs="Times New Roman"/>
          <w:sz w:val="24"/>
          <w:szCs w:val="24"/>
        </w:rPr>
        <w:t xml:space="preserve">. It is not far from the kinesthetic technique, only that it emphasizes the audio-visual part of learning. If the learning techniques are utilized well, they provide excellent results because people are different and understand information at different levels. As shown, an educator needs to understand various </w:t>
      </w:r>
      <w:r w:rsidRPr="00B46C8C">
        <w:rPr>
          <w:rFonts w:ascii="Times New Roman" w:hAnsi="Times New Roman" w:cs="Times New Roman"/>
          <w:sz w:val="24"/>
          <w:szCs w:val="24"/>
        </w:rPr>
        <w:lastRenderedPageBreak/>
        <w:t>learning styles and apply them all together so that no student is left behind in the learning process</w:t>
      </w:r>
      <w:r w:rsidR="00A20F7B" w:rsidRPr="00B46C8C">
        <w:rPr>
          <w:rFonts w:ascii="Times New Roman" w:hAnsi="Times New Roman" w:cs="Times New Roman"/>
          <w:sz w:val="24"/>
          <w:szCs w:val="24"/>
        </w:rPr>
        <w:t xml:space="preserve"> most students prefer the multimodal technique of learning </w:t>
      </w:r>
      <w:r w:rsidR="00A20F7B" w:rsidRPr="00B46C8C">
        <w:rPr>
          <w:rFonts w:ascii="Times New Roman" w:hAnsi="Times New Roman" w:cs="Times New Roman"/>
          <w:sz w:val="24"/>
          <w:szCs w:val="24"/>
        </w:rPr>
        <w:t>(Shah et al., 2013)</w:t>
      </w:r>
      <w:r w:rsidRPr="00B46C8C">
        <w:rPr>
          <w:rFonts w:ascii="Times New Roman" w:hAnsi="Times New Roman" w:cs="Times New Roman"/>
          <w:sz w:val="24"/>
          <w:szCs w:val="24"/>
        </w:rPr>
        <w:t>. When students notice that their educator has changed their teaching techniques to be more inclusive, they will be more interested in whatever they are being taught; the class environment, therefore, becomes more productive. For health promotion to be successful, various stakeholders need to utilize all the learning styles and methods to educate more people. Health is a diverse topic, and as such, they can utilize all the techniques to their maximum. The educator can use images, charts, and diagrams as discussed to pass information. Discussion groups can also be formed to cater to auditory students or a combination of all the techniques. Combining all the techniques would be very fruitful as all the categories of people would be enveloped within the entire teaching process.</w:t>
      </w:r>
    </w:p>
    <w:p w14:paraId="32E6C608" w14:textId="0D8F2593" w:rsidR="00BF0896" w:rsidRPr="00B46C8C" w:rsidRDefault="00300581" w:rsidP="00B46C8C">
      <w:pPr>
        <w:spacing w:line="480" w:lineRule="auto"/>
        <w:contextualSpacing/>
        <w:rPr>
          <w:rFonts w:ascii="Times New Roman" w:hAnsi="Times New Roman" w:cs="Times New Roman"/>
          <w:sz w:val="24"/>
          <w:szCs w:val="24"/>
        </w:rPr>
      </w:pPr>
      <w:r w:rsidRPr="00B46C8C">
        <w:rPr>
          <w:rFonts w:ascii="Times New Roman" w:hAnsi="Times New Roman" w:cs="Times New Roman"/>
          <w:sz w:val="24"/>
          <w:szCs w:val="24"/>
        </w:rPr>
        <w:t>Educators must have a glimpse of various teaching techniques for better learning and teaching results.</w:t>
      </w:r>
    </w:p>
    <w:p w14:paraId="47A12955" w14:textId="135DD75E" w:rsidR="00B46C8C" w:rsidRPr="00B46C8C" w:rsidRDefault="00B46C8C" w:rsidP="00B46C8C">
      <w:pPr>
        <w:spacing w:line="480" w:lineRule="auto"/>
        <w:contextualSpacing/>
        <w:rPr>
          <w:rFonts w:ascii="Times New Roman" w:hAnsi="Times New Roman" w:cs="Times New Roman"/>
          <w:sz w:val="24"/>
          <w:szCs w:val="24"/>
        </w:rPr>
      </w:pPr>
      <w:r w:rsidRPr="00B46C8C">
        <w:rPr>
          <w:rFonts w:ascii="Times New Roman" w:hAnsi="Times New Roman" w:cs="Times New Roman"/>
          <w:sz w:val="24"/>
          <w:szCs w:val="24"/>
        </w:rPr>
        <w:br w:type="page"/>
      </w:r>
    </w:p>
    <w:p w14:paraId="121BEB12" w14:textId="1D2E69E3" w:rsidR="00B46C8C" w:rsidRPr="00B46C8C" w:rsidRDefault="00B46C8C" w:rsidP="00B46C8C">
      <w:pPr>
        <w:spacing w:line="480" w:lineRule="auto"/>
        <w:contextualSpacing/>
        <w:jc w:val="center"/>
        <w:rPr>
          <w:rFonts w:ascii="Times New Roman" w:hAnsi="Times New Roman" w:cs="Times New Roman"/>
          <w:b/>
          <w:bCs/>
          <w:sz w:val="24"/>
          <w:szCs w:val="24"/>
        </w:rPr>
      </w:pPr>
      <w:r w:rsidRPr="00B46C8C">
        <w:rPr>
          <w:rFonts w:ascii="Times New Roman" w:hAnsi="Times New Roman" w:cs="Times New Roman"/>
          <w:b/>
          <w:bCs/>
          <w:sz w:val="24"/>
          <w:szCs w:val="24"/>
        </w:rPr>
        <w:lastRenderedPageBreak/>
        <w:t>References</w:t>
      </w:r>
    </w:p>
    <w:p w14:paraId="526B9D90" w14:textId="77777777" w:rsidR="00B46C8C" w:rsidRPr="00B46C8C" w:rsidRDefault="00B46C8C" w:rsidP="00B46C8C">
      <w:pPr>
        <w:pStyle w:val="NormalWeb"/>
        <w:spacing w:before="0" w:beforeAutospacing="0" w:after="0" w:afterAutospacing="0" w:line="480" w:lineRule="auto"/>
        <w:ind w:left="720" w:hanging="720"/>
        <w:contextualSpacing/>
      </w:pPr>
      <w:r w:rsidRPr="00B46C8C">
        <w:t xml:space="preserve">Drago, W. A., &amp; Wagner, R. J. (2004). </w:t>
      </w:r>
      <w:proofErr w:type="spellStart"/>
      <w:r w:rsidRPr="00B46C8C">
        <w:t>Vark</w:t>
      </w:r>
      <w:proofErr w:type="spellEnd"/>
      <w:r w:rsidRPr="00B46C8C">
        <w:t xml:space="preserve"> preferred learning styles and online education. </w:t>
      </w:r>
      <w:r w:rsidRPr="00B46C8C">
        <w:rPr>
          <w:i/>
          <w:iCs/>
        </w:rPr>
        <w:t>Management Research News</w:t>
      </w:r>
      <w:r w:rsidRPr="00B46C8C">
        <w:t xml:space="preserve">, </w:t>
      </w:r>
      <w:r w:rsidRPr="00B46C8C">
        <w:rPr>
          <w:i/>
          <w:iCs/>
        </w:rPr>
        <w:t>27</w:t>
      </w:r>
      <w:r w:rsidRPr="00B46C8C">
        <w:t>(7), 1–13. https://doi.org/10.1108/01409170410784211</w:t>
      </w:r>
    </w:p>
    <w:p w14:paraId="0588756F" w14:textId="77777777" w:rsidR="00B46C8C" w:rsidRPr="00B46C8C" w:rsidRDefault="00B46C8C" w:rsidP="00B46C8C">
      <w:pPr>
        <w:pStyle w:val="NormalWeb"/>
        <w:spacing w:before="0" w:beforeAutospacing="0" w:after="0" w:afterAutospacing="0" w:line="480" w:lineRule="auto"/>
        <w:ind w:left="720" w:hanging="720"/>
        <w:contextualSpacing/>
      </w:pPr>
      <w:proofErr w:type="spellStart"/>
      <w:r w:rsidRPr="00B46C8C">
        <w:t>Moazeni</w:t>
      </w:r>
      <w:proofErr w:type="spellEnd"/>
      <w:r w:rsidRPr="00B46C8C">
        <w:t xml:space="preserve">, S., &amp; </w:t>
      </w:r>
      <w:proofErr w:type="spellStart"/>
      <w:r w:rsidRPr="00B46C8C">
        <w:t>Pourmohammadi</w:t>
      </w:r>
      <w:proofErr w:type="spellEnd"/>
      <w:r w:rsidRPr="00B46C8C">
        <w:t xml:space="preserve">, H. (2013). Smart teaching quantitative topics through the VARK learning styles model. </w:t>
      </w:r>
      <w:r w:rsidRPr="00B46C8C">
        <w:rPr>
          <w:i/>
          <w:iCs/>
        </w:rPr>
        <w:t>2013 IEEE Integrated STEM Education Conference (ISEC)</w:t>
      </w:r>
      <w:r w:rsidRPr="00B46C8C">
        <w:t>. Published. https://doi.org/10.1109/isecon.2013.6525222</w:t>
      </w:r>
    </w:p>
    <w:p w14:paraId="5F0DC7D0" w14:textId="77777777" w:rsidR="00B46C8C" w:rsidRPr="00B46C8C" w:rsidRDefault="00B46C8C" w:rsidP="00B46C8C">
      <w:pPr>
        <w:pStyle w:val="NormalWeb"/>
        <w:spacing w:before="0" w:beforeAutospacing="0" w:after="0" w:afterAutospacing="0" w:line="480" w:lineRule="auto"/>
        <w:ind w:left="720" w:hanging="720"/>
        <w:contextualSpacing/>
      </w:pPr>
      <w:r w:rsidRPr="00B46C8C">
        <w:t xml:space="preserve">Shah, K., Ahmed, J., Shenoy, N., &amp; N, S. (2013). How different are students and their learning styles? </w:t>
      </w:r>
      <w:r w:rsidRPr="00B46C8C">
        <w:rPr>
          <w:i/>
          <w:iCs/>
        </w:rPr>
        <w:t>International Journal of Research in Medical Sciences</w:t>
      </w:r>
      <w:r w:rsidRPr="00B46C8C">
        <w:t xml:space="preserve">, </w:t>
      </w:r>
      <w:r w:rsidRPr="00B46C8C">
        <w:rPr>
          <w:i/>
          <w:iCs/>
        </w:rPr>
        <w:t>1</w:t>
      </w:r>
      <w:r w:rsidRPr="00B46C8C">
        <w:t>(3), 1. https://doi.org/10.5455/2320-6012.ijrms20130808</w:t>
      </w:r>
    </w:p>
    <w:p w14:paraId="18A0F419" w14:textId="77777777" w:rsidR="00B46C8C" w:rsidRPr="00B46C8C" w:rsidRDefault="00B46C8C" w:rsidP="00B46C8C">
      <w:pPr>
        <w:spacing w:line="480" w:lineRule="auto"/>
        <w:contextualSpacing/>
        <w:rPr>
          <w:rFonts w:ascii="Times New Roman" w:hAnsi="Times New Roman" w:cs="Times New Roman"/>
          <w:b/>
          <w:bCs/>
          <w:sz w:val="24"/>
          <w:szCs w:val="24"/>
        </w:rPr>
      </w:pPr>
    </w:p>
    <w:sectPr w:rsidR="00B46C8C" w:rsidRPr="00B46C8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B23A7" w14:textId="77777777" w:rsidR="001D3B60" w:rsidRDefault="001D3B60" w:rsidP="00B46C8C">
      <w:pPr>
        <w:spacing w:after="0" w:line="240" w:lineRule="auto"/>
      </w:pPr>
      <w:r>
        <w:separator/>
      </w:r>
    </w:p>
  </w:endnote>
  <w:endnote w:type="continuationSeparator" w:id="0">
    <w:p w14:paraId="0073209B" w14:textId="77777777" w:rsidR="001D3B60" w:rsidRDefault="001D3B60" w:rsidP="00B46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8ECC1" w14:textId="77777777" w:rsidR="001D3B60" w:rsidRDefault="001D3B60" w:rsidP="00B46C8C">
      <w:pPr>
        <w:spacing w:after="0" w:line="240" w:lineRule="auto"/>
      </w:pPr>
      <w:r>
        <w:separator/>
      </w:r>
    </w:p>
  </w:footnote>
  <w:footnote w:type="continuationSeparator" w:id="0">
    <w:p w14:paraId="30E2D36F" w14:textId="77777777" w:rsidR="001D3B60" w:rsidRDefault="001D3B60" w:rsidP="00B46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13391339"/>
      <w:docPartObj>
        <w:docPartGallery w:val="Page Numbers (Top of Page)"/>
        <w:docPartUnique/>
      </w:docPartObj>
    </w:sdtPr>
    <w:sdtEndPr>
      <w:rPr>
        <w:noProof/>
      </w:rPr>
    </w:sdtEndPr>
    <w:sdtContent>
      <w:p w14:paraId="1BA19E5E" w14:textId="0837E8C9" w:rsidR="00B46C8C" w:rsidRPr="00B46C8C" w:rsidRDefault="00B46C8C" w:rsidP="00B46C8C">
        <w:pPr>
          <w:pStyle w:val="Header"/>
          <w:rPr>
            <w:rFonts w:ascii="Times New Roman" w:hAnsi="Times New Roman" w:cs="Times New Roman"/>
            <w:sz w:val="24"/>
            <w:szCs w:val="24"/>
          </w:rPr>
        </w:pPr>
        <w:r w:rsidRPr="00B46C8C">
          <w:rPr>
            <w:rFonts w:ascii="Times New Roman" w:hAnsi="Times New Roman" w:cs="Times New Roman"/>
            <w:sz w:val="24"/>
            <w:szCs w:val="24"/>
          </w:rPr>
          <w:t xml:space="preserve">VARK                                                                                                                                </w:t>
        </w:r>
        <w:r>
          <w:rPr>
            <w:rFonts w:ascii="Times New Roman" w:hAnsi="Times New Roman" w:cs="Times New Roman"/>
            <w:sz w:val="24"/>
            <w:szCs w:val="24"/>
          </w:rPr>
          <w:t xml:space="preserve">              </w:t>
        </w:r>
        <w:r w:rsidRPr="00B46C8C">
          <w:rPr>
            <w:rFonts w:ascii="Times New Roman" w:hAnsi="Times New Roman" w:cs="Times New Roman"/>
            <w:sz w:val="24"/>
            <w:szCs w:val="24"/>
          </w:rPr>
          <w:fldChar w:fldCharType="begin"/>
        </w:r>
        <w:r w:rsidRPr="00B46C8C">
          <w:rPr>
            <w:rFonts w:ascii="Times New Roman" w:hAnsi="Times New Roman" w:cs="Times New Roman"/>
            <w:sz w:val="24"/>
            <w:szCs w:val="24"/>
          </w:rPr>
          <w:instrText xml:space="preserve"> PAGE   \* MERGEFORMAT </w:instrText>
        </w:r>
        <w:r w:rsidRPr="00B46C8C">
          <w:rPr>
            <w:rFonts w:ascii="Times New Roman" w:hAnsi="Times New Roman" w:cs="Times New Roman"/>
            <w:sz w:val="24"/>
            <w:szCs w:val="24"/>
          </w:rPr>
          <w:fldChar w:fldCharType="separate"/>
        </w:r>
        <w:r w:rsidRPr="00B46C8C">
          <w:rPr>
            <w:rFonts w:ascii="Times New Roman" w:hAnsi="Times New Roman" w:cs="Times New Roman"/>
            <w:noProof/>
            <w:sz w:val="24"/>
            <w:szCs w:val="24"/>
          </w:rPr>
          <w:t>2</w:t>
        </w:r>
        <w:r w:rsidRPr="00B46C8C">
          <w:rPr>
            <w:rFonts w:ascii="Times New Roman" w:hAnsi="Times New Roman" w:cs="Times New Roman"/>
            <w:noProof/>
            <w:sz w:val="24"/>
            <w:szCs w:val="24"/>
          </w:rPr>
          <w:fldChar w:fldCharType="end"/>
        </w:r>
      </w:p>
    </w:sdtContent>
  </w:sdt>
  <w:p w14:paraId="783F06D0" w14:textId="77777777" w:rsidR="00B46C8C" w:rsidRPr="00B46C8C" w:rsidRDefault="00B46C8C">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581"/>
    <w:rsid w:val="001405CF"/>
    <w:rsid w:val="001D3B60"/>
    <w:rsid w:val="00215188"/>
    <w:rsid w:val="00300581"/>
    <w:rsid w:val="009C0BCD"/>
    <w:rsid w:val="00A20F7B"/>
    <w:rsid w:val="00B46C8C"/>
    <w:rsid w:val="00E11B12"/>
    <w:rsid w:val="00EA5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5DF6"/>
  <w15:chartTrackingRefBased/>
  <w15:docId w15:val="{F4A9B6F2-B94B-4CFC-9F8B-316E33B15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6C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C8C"/>
  </w:style>
  <w:style w:type="paragraph" w:styleId="Footer">
    <w:name w:val="footer"/>
    <w:basedOn w:val="Normal"/>
    <w:link w:val="FooterChar"/>
    <w:uiPriority w:val="99"/>
    <w:unhideWhenUsed/>
    <w:rsid w:val="00B46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C8C"/>
  </w:style>
  <w:style w:type="paragraph" w:styleId="NormalWeb">
    <w:name w:val="Normal (Web)"/>
    <w:basedOn w:val="Normal"/>
    <w:uiPriority w:val="99"/>
    <w:semiHidden/>
    <w:unhideWhenUsed/>
    <w:rsid w:val="00B46C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11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2</cp:revision>
  <dcterms:created xsi:type="dcterms:W3CDTF">2021-09-15T11:53:00Z</dcterms:created>
  <dcterms:modified xsi:type="dcterms:W3CDTF">2021-09-15T11:53:00Z</dcterms:modified>
</cp:coreProperties>
</file>